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3612"/>
        <w:gridCol w:w="3673"/>
        <w:gridCol w:w="3553"/>
      </w:tblGrid>
      <w:tr w:rsidR="00F839A0" w:rsidRPr="003A7473" w:rsidTr="003A7473">
        <w:trPr>
          <w:trHeight w:val="276"/>
        </w:trPr>
        <w:tc>
          <w:tcPr>
            <w:tcW w:w="3612" w:type="dxa"/>
          </w:tcPr>
          <w:p w:rsidR="00F839A0" w:rsidRPr="003A7473" w:rsidRDefault="003A7473" w:rsidP="003A74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473">
              <w:rPr>
                <w:b/>
                <w:sz w:val="22"/>
                <w:szCs w:val="22"/>
              </w:rPr>
              <w:t>Excerpt from Declaration of Independence</w:t>
            </w:r>
          </w:p>
        </w:tc>
        <w:tc>
          <w:tcPr>
            <w:tcW w:w="3673" w:type="dxa"/>
          </w:tcPr>
          <w:p w:rsidR="00F839A0" w:rsidRPr="003A7473" w:rsidRDefault="003A7473" w:rsidP="003A7473">
            <w:pPr>
              <w:jc w:val="center"/>
              <w:rPr>
                <w:b/>
                <w:sz w:val="22"/>
              </w:rPr>
            </w:pPr>
            <w:r w:rsidRPr="003A7473">
              <w:rPr>
                <w:b/>
                <w:sz w:val="22"/>
              </w:rPr>
              <w:t>Rephrased Excerpt into 8</w:t>
            </w:r>
            <w:r w:rsidRPr="003A7473">
              <w:rPr>
                <w:b/>
                <w:sz w:val="22"/>
                <w:vertAlign w:val="superscript"/>
              </w:rPr>
              <w:t>th</w:t>
            </w:r>
            <w:r w:rsidRPr="003A7473">
              <w:rPr>
                <w:b/>
                <w:sz w:val="22"/>
              </w:rPr>
              <w:t xml:space="preserve"> grade terms</w:t>
            </w:r>
          </w:p>
        </w:tc>
        <w:tc>
          <w:tcPr>
            <w:tcW w:w="3553" w:type="dxa"/>
          </w:tcPr>
          <w:p w:rsidR="00F839A0" w:rsidRPr="003A7473" w:rsidRDefault="003A7473" w:rsidP="003A7473">
            <w:pPr>
              <w:jc w:val="center"/>
              <w:rPr>
                <w:b/>
                <w:sz w:val="22"/>
              </w:rPr>
            </w:pPr>
            <w:r w:rsidRPr="003A7473">
              <w:rPr>
                <w:b/>
                <w:sz w:val="22"/>
              </w:rPr>
              <w:t>Simple Sketch</w:t>
            </w:r>
          </w:p>
        </w:tc>
      </w:tr>
      <w:tr w:rsidR="00F839A0" w:rsidTr="003A7473">
        <w:trPr>
          <w:trHeight w:val="2591"/>
        </w:trPr>
        <w:tc>
          <w:tcPr>
            <w:tcW w:w="3612" w:type="dxa"/>
          </w:tcPr>
          <w:p w:rsidR="00F839A0" w:rsidRPr="003A7473" w:rsidRDefault="00F839A0" w:rsidP="003A7473">
            <w:pPr>
              <w:spacing w:line="276" w:lineRule="auto"/>
              <w:rPr>
                <w:sz w:val="22"/>
                <w:szCs w:val="22"/>
              </w:rPr>
            </w:pPr>
            <w:r w:rsidRPr="003A7473">
              <w:rPr>
                <w:sz w:val="22"/>
                <w:szCs w:val="22"/>
                <w:u w:val="single"/>
              </w:rPr>
              <w:t>Excerpt 1:</w:t>
            </w:r>
            <w:r w:rsidRPr="003A7473">
              <w:rPr>
                <w:sz w:val="22"/>
                <w:szCs w:val="22"/>
              </w:rPr>
              <w:t xml:space="preserve"> “When in the Course of human event it becomes necessary </w:t>
            </w:r>
            <w:r w:rsidR="003A7473" w:rsidRPr="003A7473">
              <w:rPr>
                <w:sz w:val="22"/>
                <w:szCs w:val="22"/>
              </w:rPr>
              <w:t>for one people</w:t>
            </w:r>
            <w:r w:rsidRPr="003A7473">
              <w:rPr>
                <w:sz w:val="22"/>
                <w:szCs w:val="22"/>
              </w:rPr>
              <w:t xml:space="preserve"> to dissolve the </w:t>
            </w:r>
            <w:r w:rsidR="003A7473" w:rsidRPr="003A7473">
              <w:rPr>
                <w:sz w:val="22"/>
                <w:szCs w:val="22"/>
              </w:rPr>
              <w:t>political</w:t>
            </w:r>
            <w:r w:rsidRPr="003A7473">
              <w:rPr>
                <w:sz w:val="22"/>
                <w:szCs w:val="22"/>
              </w:rPr>
              <w:t xml:space="preserve"> bands which have conne</w:t>
            </w:r>
            <w:r w:rsidR="003A7473" w:rsidRPr="003A7473">
              <w:rPr>
                <w:sz w:val="22"/>
                <w:szCs w:val="22"/>
              </w:rPr>
              <w:t>cted them</w:t>
            </w:r>
            <w:r w:rsidRPr="003A7473">
              <w:rPr>
                <w:sz w:val="22"/>
                <w:szCs w:val="22"/>
              </w:rPr>
              <w:t xml:space="preserve"> with another… a decent respect to the opinions of mankind requires that they should declare the cau</w:t>
            </w:r>
            <w:r w:rsidR="003A7473" w:rsidRPr="003A7473">
              <w:rPr>
                <w:sz w:val="22"/>
                <w:szCs w:val="22"/>
              </w:rPr>
              <w:t>ses which impel</w:t>
            </w:r>
            <w:r w:rsidRPr="003A7473">
              <w:rPr>
                <w:sz w:val="22"/>
                <w:szCs w:val="22"/>
              </w:rPr>
              <w:t xml:space="preserve"> them to the separation”</w:t>
            </w:r>
          </w:p>
        </w:tc>
        <w:tc>
          <w:tcPr>
            <w:tcW w:w="3673" w:type="dxa"/>
          </w:tcPr>
          <w:p w:rsidR="00F839A0" w:rsidRDefault="00F839A0"/>
        </w:tc>
        <w:tc>
          <w:tcPr>
            <w:tcW w:w="3553" w:type="dxa"/>
          </w:tcPr>
          <w:p w:rsidR="00F839A0" w:rsidRDefault="00F839A0"/>
        </w:tc>
      </w:tr>
      <w:tr w:rsidR="00F839A0" w:rsidTr="003A7473">
        <w:trPr>
          <w:trHeight w:val="2060"/>
        </w:trPr>
        <w:tc>
          <w:tcPr>
            <w:tcW w:w="3612" w:type="dxa"/>
          </w:tcPr>
          <w:p w:rsidR="00F839A0" w:rsidRPr="003A7473" w:rsidRDefault="00F839A0" w:rsidP="003A7473">
            <w:pPr>
              <w:spacing w:line="276" w:lineRule="auto"/>
              <w:rPr>
                <w:sz w:val="22"/>
                <w:szCs w:val="22"/>
              </w:rPr>
            </w:pPr>
            <w:r w:rsidRPr="003A7473">
              <w:rPr>
                <w:sz w:val="22"/>
                <w:szCs w:val="22"/>
                <w:u w:val="single"/>
              </w:rPr>
              <w:t>Excerpt 2:</w:t>
            </w:r>
            <w:r w:rsidRPr="003A7473">
              <w:rPr>
                <w:sz w:val="22"/>
                <w:szCs w:val="22"/>
              </w:rPr>
              <w:t xml:space="preserve"> “We hold these truths to be self-evident, that all men are created equal, that they are endowed by their Creator with certain unalienable Rights, that among these are Life</w:t>
            </w:r>
            <w:r w:rsidR="003A7473" w:rsidRPr="003A7473">
              <w:rPr>
                <w:sz w:val="22"/>
                <w:szCs w:val="22"/>
              </w:rPr>
              <w:t>, Libert</w:t>
            </w:r>
            <w:r w:rsidRPr="003A7473">
              <w:rPr>
                <w:sz w:val="22"/>
                <w:szCs w:val="22"/>
              </w:rPr>
              <w:t>y and the pursuit of Happiness.”</w:t>
            </w:r>
          </w:p>
        </w:tc>
        <w:tc>
          <w:tcPr>
            <w:tcW w:w="3673" w:type="dxa"/>
          </w:tcPr>
          <w:p w:rsidR="00F839A0" w:rsidRDefault="00F839A0"/>
        </w:tc>
        <w:tc>
          <w:tcPr>
            <w:tcW w:w="3553" w:type="dxa"/>
          </w:tcPr>
          <w:p w:rsidR="00F839A0" w:rsidRDefault="00F839A0"/>
        </w:tc>
      </w:tr>
      <w:tr w:rsidR="00F839A0" w:rsidTr="003A7473">
        <w:trPr>
          <w:trHeight w:val="2870"/>
        </w:trPr>
        <w:tc>
          <w:tcPr>
            <w:tcW w:w="3612" w:type="dxa"/>
          </w:tcPr>
          <w:p w:rsidR="00F839A0" w:rsidRPr="003A7473" w:rsidRDefault="00F839A0" w:rsidP="003A7473">
            <w:pPr>
              <w:spacing w:line="276" w:lineRule="auto"/>
              <w:rPr>
                <w:sz w:val="22"/>
                <w:szCs w:val="22"/>
              </w:rPr>
            </w:pPr>
            <w:r w:rsidRPr="003A7473">
              <w:rPr>
                <w:sz w:val="22"/>
                <w:szCs w:val="22"/>
                <w:u w:val="single"/>
              </w:rPr>
              <w:t>Excerpt 3:</w:t>
            </w:r>
            <w:r w:rsidRPr="003A7473">
              <w:rPr>
                <w:sz w:val="22"/>
                <w:szCs w:val="22"/>
              </w:rPr>
              <w:t xml:space="preserve"> “To secure these rights, Governments are instituted among Men, deriving their just powers from consent of the governed</w:t>
            </w:r>
            <w:r w:rsidR="003A7473" w:rsidRPr="003A7473">
              <w:rPr>
                <w:sz w:val="22"/>
                <w:szCs w:val="22"/>
              </w:rPr>
              <w:t xml:space="preserve">… </w:t>
            </w:r>
            <w:r w:rsidR="003A7473" w:rsidRPr="003A7473">
              <w:rPr>
                <w:sz w:val="22"/>
                <w:szCs w:val="22"/>
              </w:rPr>
              <w:t xml:space="preserve">That whenever any Form of Government becomes destructive of these ends, it is the Right of the People to alter or to abolish it, and institute new </w:t>
            </w:r>
            <w:r w:rsidR="003A7473" w:rsidRPr="003A7473">
              <w:rPr>
                <w:sz w:val="22"/>
                <w:szCs w:val="22"/>
              </w:rPr>
              <w:t>Government</w:t>
            </w:r>
            <w:r w:rsidR="003A7473" w:rsidRPr="003A7473">
              <w:rPr>
                <w:sz w:val="22"/>
                <w:szCs w:val="22"/>
              </w:rPr>
              <w:t>.”</w:t>
            </w:r>
          </w:p>
        </w:tc>
        <w:tc>
          <w:tcPr>
            <w:tcW w:w="3673" w:type="dxa"/>
          </w:tcPr>
          <w:p w:rsidR="00F839A0" w:rsidRDefault="00F839A0"/>
        </w:tc>
        <w:tc>
          <w:tcPr>
            <w:tcW w:w="3553" w:type="dxa"/>
          </w:tcPr>
          <w:p w:rsidR="00F839A0" w:rsidRDefault="00F839A0"/>
        </w:tc>
      </w:tr>
      <w:tr w:rsidR="00F839A0" w:rsidTr="003A7473">
        <w:trPr>
          <w:trHeight w:val="3614"/>
        </w:trPr>
        <w:tc>
          <w:tcPr>
            <w:tcW w:w="3612" w:type="dxa"/>
          </w:tcPr>
          <w:p w:rsidR="00F839A0" w:rsidRPr="003A7473" w:rsidRDefault="003A7473" w:rsidP="003A7473">
            <w:pPr>
              <w:spacing w:line="276" w:lineRule="auto"/>
              <w:rPr>
                <w:sz w:val="22"/>
                <w:szCs w:val="22"/>
              </w:rPr>
            </w:pPr>
            <w:r w:rsidRPr="003A7473">
              <w:rPr>
                <w:sz w:val="22"/>
                <w:szCs w:val="22"/>
                <w:u w:val="single"/>
              </w:rPr>
              <w:t>Excerpt 4</w:t>
            </w:r>
            <w:r w:rsidR="00F839A0" w:rsidRPr="003A7473">
              <w:rPr>
                <w:sz w:val="22"/>
                <w:szCs w:val="22"/>
                <w:u w:val="single"/>
              </w:rPr>
              <w:t>:</w:t>
            </w:r>
            <w:r w:rsidR="00F839A0" w:rsidRPr="003A7473">
              <w:rPr>
                <w:sz w:val="22"/>
                <w:szCs w:val="22"/>
              </w:rPr>
              <w:t xml:space="preserve"> “The history of the present King of Great </w:t>
            </w:r>
            <w:r w:rsidRPr="003A7473">
              <w:rPr>
                <w:sz w:val="22"/>
                <w:szCs w:val="22"/>
              </w:rPr>
              <w:t>Britain</w:t>
            </w:r>
            <w:r w:rsidR="00F839A0" w:rsidRPr="003A7473">
              <w:rPr>
                <w:sz w:val="22"/>
                <w:szCs w:val="22"/>
              </w:rPr>
              <w:t xml:space="preserve"> is a history of repeated injurie</w:t>
            </w:r>
            <w:r w:rsidRPr="003A7473">
              <w:rPr>
                <w:sz w:val="22"/>
                <w:szCs w:val="22"/>
              </w:rPr>
              <w:t xml:space="preserve">s and usurpations…In every stage of these Oppressions We have Petitioned for Redress in the </w:t>
            </w:r>
            <w:proofErr w:type="gramStart"/>
            <w:r w:rsidRPr="003A7473">
              <w:rPr>
                <w:sz w:val="22"/>
                <w:szCs w:val="22"/>
              </w:rPr>
              <w:t>most humble</w:t>
            </w:r>
            <w:proofErr w:type="gramEnd"/>
            <w:r w:rsidRPr="003A7473">
              <w:rPr>
                <w:sz w:val="22"/>
                <w:szCs w:val="22"/>
              </w:rPr>
              <w:t xml:space="preserve"> terms: Our repeated petitions have been answered only be repeated injury. A Prince, whose character is thus marked by every act which may define a Tyrant, is unfit to be the ruler of a free people.”</w:t>
            </w:r>
          </w:p>
        </w:tc>
        <w:tc>
          <w:tcPr>
            <w:tcW w:w="3673" w:type="dxa"/>
          </w:tcPr>
          <w:p w:rsidR="00F839A0" w:rsidRDefault="00F839A0">
            <w:bookmarkStart w:id="0" w:name="_GoBack"/>
            <w:bookmarkEnd w:id="0"/>
          </w:p>
        </w:tc>
        <w:tc>
          <w:tcPr>
            <w:tcW w:w="3553" w:type="dxa"/>
          </w:tcPr>
          <w:p w:rsidR="00F839A0" w:rsidRDefault="00F839A0"/>
        </w:tc>
      </w:tr>
      <w:tr w:rsidR="00F839A0" w:rsidTr="003A7473">
        <w:trPr>
          <w:trHeight w:val="1643"/>
        </w:trPr>
        <w:tc>
          <w:tcPr>
            <w:tcW w:w="3612" w:type="dxa"/>
          </w:tcPr>
          <w:p w:rsidR="00F839A0" w:rsidRPr="003A7473" w:rsidRDefault="003A7473" w:rsidP="003A7473">
            <w:pPr>
              <w:spacing w:line="276" w:lineRule="auto"/>
              <w:rPr>
                <w:sz w:val="22"/>
                <w:szCs w:val="22"/>
              </w:rPr>
            </w:pPr>
            <w:r w:rsidRPr="003A7473">
              <w:rPr>
                <w:sz w:val="22"/>
                <w:szCs w:val="22"/>
                <w:u w:val="single"/>
              </w:rPr>
              <w:t>Excerpt 5:</w:t>
            </w:r>
            <w:r w:rsidRPr="003A7473">
              <w:rPr>
                <w:sz w:val="22"/>
                <w:szCs w:val="22"/>
              </w:rPr>
              <w:t xml:space="preserve"> “We, therefore…solemnly publish and declare, </w:t>
            </w:r>
            <w:proofErr w:type="gramStart"/>
            <w:r w:rsidRPr="003A7473">
              <w:rPr>
                <w:sz w:val="22"/>
                <w:szCs w:val="22"/>
              </w:rPr>
              <w:t>That</w:t>
            </w:r>
            <w:proofErr w:type="gramEnd"/>
            <w:r w:rsidRPr="003A7473">
              <w:rPr>
                <w:sz w:val="22"/>
                <w:szCs w:val="22"/>
              </w:rPr>
              <w:t xml:space="preserve"> these United Colonies are, and of Right ought to be Free and Independent States”</w:t>
            </w:r>
          </w:p>
        </w:tc>
        <w:tc>
          <w:tcPr>
            <w:tcW w:w="3673" w:type="dxa"/>
          </w:tcPr>
          <w:p w:rsidR="00F839A0" w:rsidRDefault="00F839A0"/>
        </w:tc>
        <w:tc>
          <w:tcPr>
            <w:tcW w:w="3553" w:type="dxa"/>
          </w:tcPr>
          <w:p w:rsidR="00F839A0" w:rsidRDefault="00F839A0"/>
        </w:tc>
      </w:tr>
    </w:tbl>
    <w:p w:rsidR="00B859BF" w:rsidRDefault="00D245EC"/>
    <w:sectPr w:rsidR="00B859BF" w:rsidSect="003A7473">
      <w:headerReference w:type="default" r:id="rId6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EC" w:rsidRDefault="00D245EC" w:rsidP="003A7473">
      <w:r>
        <w:separator/>
      </w:r>
    </w:p>
  </w:endnote>
  <w:endnote w:type="continuationSeparator" w:id="0">
    <w:p w:rsidR="00D245EC" w:rsidRDefault="00D245EC" w:rsidP="003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EC" w:rsidRDefault="00D245EC" w:rsidP="003A7473">
      <w:r>
        <w:separator/>
      </w:r>
    </w:p>
  </w:footnote>
  <w:footnote w:type="continuationSeparator" w:id="0">
    <w:p w:rsidR="00D245EC" w:rsidRDefault="00D245EC" w:rsidP="003A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73" w:rsidRPr="003A7473" w:rsidRDefault="003A7473" w:rsidP="003A7473">
    <w:pPr>
      <w:pStyle w:val="Header"/>
      <w:jc w:val="center"/>
      <w:rPr>
        <w:b/>
        <w:sz w:val="22"/>
      </w:rPr>
    </w:pPr>
    <w:r w:rsidRPr="003A7473">
      <w:rPr>
        <w:b/>
        <w:sz w:val="22"/>
      </w:rPr>
      <w:t>Understanding the Declaration of Independence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A0"/>
    <w:rsid w:val="001F22D8"/>
    <w:rsid w:val="003A7473"/>
    <w:rsid w:val="00D245EC"/>
    <w:rsid w:val="00E63E9F"/>
    <w:rsid w:val="00F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90753"/>
  <w15:chartTrackingRefBased/>
  <w15:docId w15:val="{68120D96-1C97-FB43-861B-F4AECFCC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473"/>
  </w:style>
  <w:style w:type="paragraph" w:styleId="Footer">
    <w:name w:val="footer"/>
    <w:basedOn w:val="Normal"/>
    <w:link w:val="FooterChar"/>
    <w:uiPriority w:val="99"/>
    <w:unhideWhenUsed/>
    <w:rsid w:val="003A7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2018-10-11T16:06:00Z</dcterms:created>
  <dcterms:modified xsi:type="dcterms:W3CDTF">2018-10-11T16:27:00Z</dcterms:modified>
</cp:coreProperties>
</file>